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0C6" w:rsidRPr="00863424" w:rsidRDefault="00863424">
      <w:pPr>
        <w:rPr>
          <w:rFonts w:ascii="標楷體" w:eastAsia="標楷體" w:hAnsi="標楷體"/>
        </w:rPr>
      </w:pPr>
      <w:bookmarkStart w:id="0" w:name="_GoBack"/>
      <w:bookmarkEnd w:id="0"/>
      <w:r w:rsidRPr="00863424">
        <w:rPr>
          <w:rFonts w:ascii="標楷體" w:eastAsia="標楷體" w:hAnsi="標楷體" w:hint="eastAsia"/>
        </w:rPr>
        <w:t>國家機密保護法108年5月10日修正條文對照表</w:t>
      </w:r>
    </w:p>
    <w:tbl>
      <w:tblPr>
        <w:tblStyle w:val="a3"/>
        <w:tblW w:w="0" w:type="auto"/>
        <w:tblLook w:val="04A0" w:firstRow="1" w:lastRow="0" w:firstColumn="1" w:lastColumn="0" w:noHBand="0" w:noVBand="1"/>
      </w:tblPr>
      <w:tblGrid>
        <w:gridCol w:w="1094"/>
        <w:gridCol w:w="3602"/>
        <w:gridCol w:w="3600"/>
      </w:tblGrid>
      <w:tr w:rsidR="00863424" w:rsidTr="00A017F4">
        <w:tc>
          <w:tcPr>
            <w:tcW w:w="1101" w:type="dxa"/>
          </w:tcPr>
          <w:p w:rsidR="00863424" w:rsidRPr="00D41A24" w:rsidRDefault="00863424" w:rsidP="00A017F4">
            <w:pPr>
              <w:rPr>
                <w:rFonts w:ascii="標楷體" w:eastAsia="標楷體" w:hAnsi="標楷體"/>
              </w:rPr>
            </w:pPr>
            <w:proofErr w:type="gramStart"/>
            <w:r w:rsidRPr="00D41A24">
              <w:rPr>
                <w:rFonts w:ascii="標楷體" w:eastAsia="標楷體" w:hAnsi="標楷體" w:hint="eastAsia"/>
              </w:rPr>
              <w:t>條號</w:t>
            </w:r>
            <w:proofErr w:type="gramEnd"/>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w:t>
            </w:r>
            <w:proofErr w:type="gramStart"/>
            <w:r w:rsidRPr="00792312">
              <w:rPr>
                <w:rFonts w:ascii="標楷體" w:eastAsia="標楷體" w:hAnsi="標楷體" w:cs="新細明體" w:hint="eastAsia"/>
                <w:color w:val="000000"/>
                <w:kern w:val="0"/>
                <w:szCs w:val="24"/>
                <w:shd w:val="clear" w:color="auto" w:fill="FFFFFF"/>
              </w:rPr>
              <w:t>前二款退離職</w:t>
            </w:r>
            <w:proofErr w:type="gramEnd"/>
            <w:r w:rsidRPr="00792312">
              <w:rPr>
                <w:rFonts w:ascii="標楷體" w:eastAsia="標楷體" w:hAnsi="標楷體" w:cs="新細明體" w:hint="eastAsia"/>
                <w:color w:val="000000"/>
                <w:kern w:val="0"/>
                <w:szCs w:val="24"/>
                <w:shd w:val="clear" w:color="auto" w:fill="FFFFFF"/>
              </w:rPr>
              <w:t>或移交國家機密未滿三年之人員。</w:t>
            </w:r>
          </w:p>
          <w:p w:rsidR="00863424" w:rsidRPr="00D41A24" w:rsidRDefault="00863424" w:rsidP="00A017F4">
            <w:pPr>
              <w:widowControl/>
              <w:rPr>
                <w:rFonts w:ascii="標楷體" w:eastAsia="標楷體" w:hAnsi="標楷體"/>
              </w:rPr>
            </w:pPr>
            <w:r w:rsidRPr="00792312">
              <w:rPr>
                <w:rFonts w:ascii="標楷體" w:eastAsia="標楷體" w:hAnsi="標楷體" w:cs="新細明體" w:hint="eastAsia"/>
                <w:color w:val="000000"/>
                <w:kern w:val="0"/>
                <w:szCs w:val="24"/>
                <w:shd w:val="clear" w:color="auto" w:fill="FFFFFF"/>
              </w:rPr>
              <w:t>前項第三款之</w:t>
            </w:r>
            <w:proofErr w:type="gramStart"/>
            <w:r w:rsidRPr="00792312">
              <w:rPr>
                <w:rFonts w:ascii="標楷體" w:eastAsia="標楷體" w:hAnsi="標楷體" w:cs="新細明體" w:hint="eastAsia"/>
                <w:color w:val="000000"/>
                <w:kern w:val="0"/>
                <w:szCs w:val="24"/>
                <w:shd w:val="clear" w:color="auto" w:fill="FFFFFF"/>
              </w:rPr>
              <w:t>期間，</w:t>
            </w:r>
            <w:proofErr w:type="gramEnd"/>
            <w:r w:rsidRPr="00792312">
              <w:rPr>
                <w:rFonts w:ascii="標楷體" w:eastAsia="標楷體" w:hAnsi="標楷體" w:cs="新細明體" w:hint="eastAsia"/>
                <w:color w:val="000000"/>
                <w:kern w:val="0"/>
                <w:szCs w:val="24"/>
                <w:shd w:val="clear" w:color="auto" w:fill="FFFFFF"/>
              </w:rPr>
              <w:t>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w:t>
            </w:r>
            <w:proofErr w:type="gramStart"/>
            <w:r w:rsidRPr="00792312">
              <w:rPr>
                <w:rFonts w:ascii="標楷體" w:eastAsia="標楷體" w:hAnsi="標楷體" w:cs="新細明體" w:hint="eastAsia"/>
                <w:color w:val="000000"/>
                <w:kern w:val="0"/>
                <w:szCs w:val="24"/>
                <w:shd w:val="clear" w:color="auto" w:fill="FFFFFF"/>
              </w:rPr>
              <w:t>前二款退</w:t>
            </w:r>
            <w:proofErr w:type="gramEnd"/>
            <w:r w:rsidRPr="00792312">
              <w:rPr>
                <w:rFonts w:ascii="標楷體" w:eastAsia="標楷體" w:hAnsi="標楷體" w:cs="新細明體" w:hint="eastAsia"/>
                <w:color w:val="000000"/>
                <w:kern w:val="0"/>
                <w:szCs w:val="24"/>
                <w:shd w:val="clear" w:color="auto" w:fill="FFFFFF"/>
              </w:rPr>
              <w:t>、離職或移交國家機密未滿三年之人員。</w:t>
            </w:r>
          </w:p>
          <w:p w:rsidR="00863424" w:rsidRPr="00D41A24" w:rsidRDefault="00863424" w:rsidP="00A017F4">
            <w:pPr>
              <w:rPr>
                <w:rFonts w:ascii="標楷體" w:eastAsia="標楷體" w:hAnsi="標楷體"/>
              </w:rPr>
            </w:pPr>
            <w:r w:rsidRPr="00D41A24">
              <w:rPr>
                <w:rFonts w:ascii="標楷體" w:eastAsia="標楷體" w:hAnsi="標楷體" w:cs="新細明體" w:hint="eastAsia"/>
                <w:color w:val="000000"/>
                <w:kern w:val="0"/>
                <w:szCs w:val="24"/>
                <w:shd w:val="clear" w:color="auto" w:fill="FFFFFF"/>
              </w:rPr>
              <w:t>前項第三款之</w:t>
            </w:r>
            <w:proofErr w:type="gramStart"/>
            <w:r w:rsidRPr="00D41A24">
              <w:rPr>
                <w:rFonts w:ascii="標楷體" w:eastAsia="標楷體" w:hAnsi="標楷體" w:cs="新細明體" w:hint="eastAsia"/>
                <w:color w:val="000000"/>
                <w:kern w:val="0"/>
                <w:szCs w:val="24"/>
                <w:shd w:val="clear" w:color="auto" w:fill="FFFFFF"/>
              </w:rPr>
              <w:t>期間，</w:t>
            </w:r>
            <w:proofErr w:type="gramEnd"/>
            <w:r w:rsidRPr="00D41A24">
              <w:rPr>
                <w:rFonts w:ascii="標楷體" w:eastAsia="標楷體" w:hAnsi="標楷體" w:cs="新細明體" w:hint="eastAsia"/>
                <w:color w:val="000000"/>
                <w:kern w:val="0"/>
                <w:szCs w:val="24"/>
                <w:shd w:val="clear" w:color="auto" w:fill="FFFFFF"/>
              </w:rPr>
              <w:t>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w:t>
            </w:r>
            <w:proofErr w:type="gramStart"/>
            <w:r w:rsidRPr="00F36DF7">
              <w:rPr>
                <w:rFonts w:ascii="標楷體" w:eastAsia="標楷體" w:hAnsi="標楷體" w:cs="Arial" w:hint="eastAsia"/>
                <w:color w:val="333333"/>
                <w:kern w:val="0"/>
                <w:szCs w:val="24"/>
              </w:rPr>
              <w:t>併</w:t>
            </w:r>
            <w:proofErr w:type="gramEnd"/>
            <w:r w:rsidRPr="00F36DF7">
              <w:rPr>
                <w:rFonts w:ascii="標楷體" w:eastAsia="標楷體" w:hAnsi="標楷體" w:cs="Arial" w:hint="eastAsia"/>
                <w:color w:val="333333"/>
                <w:kern w:val="0"/>
                <w:szCs w:val="24"/>
              </w:rPr>
              <w:t>科新臺幣二十萬元以下罰金。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科新臺幣二十萬元以下罰金。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科新臺幣十萬元以下罰金。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w:t>
            </w:r>
            <w:proofErr w:type="gramStart"/>
            <w:r w:rsidRPr="00792312">
              <w:rPr>
                <w:rFonts w:ascii="標楷體" w:eastAsia="標楷體" w:hAnsi="標楷體" w:cs="新細明體" w:hint="eastAsia"/>
                <w:color w:val="000000"/>
                <w:kern w:val="0"/>
                <w:szCs w:val="24"/>
                <w:shd w:val="clear" w:color="auto" w:fill="FFFFFF"/>
              </w:rPr>
              <w:t>併</w:t>
            </w:r>
            <w:proofErr w:type="gramEnd"/>
            <w:r w:rsidRPr="00792312">
              <w:rPr>
                <w:rFonts w:ascii="標楷體" w:eastAsia="標楷體" w:hAnsi="標楷體" w:cs="新細明體" w:hint="eastAsia"/>
                <w:color w:val="000000"/>
                <w:kern w:val="0"/>
                <w:szCs w:val="24"/>
                <w:shd w:val="clear" w:color="auto" w:fill="FFFFFF"/>
              </w:rPr>
              <w:t>科新臺幣十萬元以下罰金。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第34條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24"/>
    <w:rsid w:val="00195A07"/>
    <w:rsid w:val="004460C6"/>
    <w:rsid w:val="00863424"/>
    <w:rsid w:val="0097356D"/>
    <w:rsid w:val="00CF7170"/>
    <w:rsid w:val="00E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750FF-18D7-44EE-8684-85850C1F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2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USER</cp:lastModifiedBy>
  <cp:revision>2</cp:revision>
  <dcterms:created xsi:type="dcterms:W3CDTF">2019-06-24T02:33:00Z</dcterms:created>
  <dcterms:modified xsi:type="dcterms:W3CDTF">2019-06-24T02:33:00Z</dcterms:modified>
</cp:coreProperties>
</file>