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A3" w:rsidRPr="00AA215E" w:rsidRDefault="00E647A3" w:rsidP="00E647A3">
      <w:pPr>
        <w:snapToGrid w:val="0"/>
        <w:spacing w:line="460" w:lineRule="exact"/>
        <w:ind w:left="743" w:hanging="743"/>
        <w:jc w:val="center"/>
        <w:rPr>
          <w:rFonts w:ascii="標楷體" w:eastAsia="標楷體" w:hAnsi="標楷體"/>
          <w:b/>
          <w:sz w:val="32"/>
          <w:szCs w:val="32"/>
        </w:rPr>
      </w:pPr>
      <w:r>
        <w:rPr>
          <w:rFonts w:ascii="標楷體" w:eastAsia="標楷體" w:hAnsi="標楷體" w:hint="eastAsia"/>
          <w:b/>
          <w:sz w:val="32"/>
          <w:szCs w:val="32"/>
        </w:rPr>
        <w:t>105</w:t>
      </w:r>
      <w:r w:rsidRPr="00AA215E">
        <w:rPr>
          <w:rFonts w:ascii="標楷體" w:eastAsia="標楷體" w:hAnsi="標楷體" w:hint="eastAsia"/>
          <w:b/>
          <w:sz w:val="32"/>
          <w:szCs w:val="32"/>
        </w:rPr>
        <w:t>學年度語文學習領域國語文組輔導群</w:t>
      </w:r>
    </w:p>
    <w:p w:rsidR="00E647A3" w:rsidRPr="00AA215E" w:rsidRDefault="00E647A3" w:rsidP="00E647A3">
      <w:pPr>
        <w:snapToGrid w:val="0"/>
        <w:spacing w:line="460" w:lineRule="exact"/>
        <w:ind w:hanging="743"/>
        <w:jc w:val="center"/>
        <w:rPr>
          <w:rFonts w:ascii="標楷體" w:eastAsia="標楷體" w:hAnsi="標楷體"/>
          <w:b/>
          <w:sz w:val="32"/>
          <w:szCs w:val="32"/>
        </w:rPr>
      </w:pPr>
      <w:r w:rsidRPr="00AA215E">
        <w:rPr>
          <w:rFonts w:ascii="標楷體" w:eastAsia="標楷體" w:hAnsi="標楷體" w:hint="eastAsia"/>
          <w:b/>
          <w:sz w:val="32"/>
          <w:szCs w:val="32"/>
        </w:rPr>
        <w:t>「閱讀奠基點燈</w:t>
      </w:r>
      <w:r w:rsidR="00BA4133">
        <w:rPr>
          <w:rFonts w:ascii="標楷體" w:eastAsia="標楷體" w:hAnsi="標楷體" w:hint="eastAsia"/>
          <w:b/>
          <w:sz w:val="32"/>
          <w:szCs w:val="32"/>
        </w:rPr>
        <w:t>-花蓮縣</w:t>
      </w:r>
      <w:r w:rsidRPr="00AA215E">
        <w:rPr>
          <w:rFonts w:ascii="標楷體" w:eastAsia="標楷體" w:hAnsi="標楷體" w:hint="eastAsia"/>
          <w:b/>
          <w:sz w:val="32"/>
          <w:szCs w:val="32"/>
        </w:rPr>
        <w:t>」實施計畫</w:t>
      </w:r>
    </w:p>
    <w:p w:rsidR="00E647A3" w:rsidRPr="00AA215E" w:rsidRDefault="00E647A3" w:rsidP="00E647A3">
      <w:pPr>
        <w:adjustRightInd w:val="0"/>
        <w:snapToGrid w:val="0"/>
        <w:spacing w:beforeLines="100" w:line="460" w:lineRule="exact"/>
        <w:rPr>
          <w:rFonts w:ascii="標楷體" w:eastAsia="標楷體" w:hAnsi="標楷體"/>
          <w:b/>
          <w:sz w:val="28"/>
          <w:szCs w:val="28"/>
        </w:rPr>
      </w:pPr>
      <w:r w:rsidRPr="00AA215E">
        <w:rPr>
          <w:rFonts w:ascii="標楷體" w:eastAsia="標楷體" w:hAnsi="標楷體" w:hint="eastAsia"/>
          <w:b/>
          <w:sz w:val="28"/>
          <w:szCs w:val="28"/>
        </w:rPr>
        <w:t>壹、依據</w:t>
      </w:r>
    </w:p>
    <w:p w:rsidR="00E647A3" w:rsidRPr="00AA215E" w:rsidRDefault="00E647A3" w:rsidP="00E647A3">
      <w:pPr>
        <w:snapToGrid w:val="0"/>
        <w:spacing w:line="460" w:lineRule="exact"/>
        <w:ind w:leftChars="254" w:left="616" w:hanging="6"/>
        <w:rPr>
          <w:rFonts w:ascii="標楷體" w:eastAsia="標楷體" w:hAnsi="標楷體"/>
          <w:sz w:val="28"/>
          <w:szCs w:val="28"/>
        </w:rPr>
      </w:pPr>
      <w:r w:rsidRPr="00AA215E">
        <w:rPr>
          <w:rFonts w:ascii="標楷體" w:eastAsia="標楷體" w:hAnsi="標楷體" w:hint="eastAsia"/>
          <w:sz w:val="28"/>
          <w:szCs w:val="28"/>
        </w:rPr>
        <w:t>教育部國民及學前教育署九年一貫課程推動工作課程與教學輔導組語文學習領域國語文輔導群工作計畫</w:t>
      </w:r>
    </w:p>
    <w:p w:rsidR="00E647A3" w:rsidRPr="00AA215E" w:rsidRDefault="00E647A3" w:rsidP="00E647A3">
      <w:pPr>
        <w:adjustRightInd w:val="0"/>
        <w:snapToGrid w:val="0"/>
        <w:spacing w:beforeLines="50" w:line="460" w:lineRule="exact"/>
        <w:jc w:val="both"/>
        <w:rPr>
          <w:rFonts w:ascii="標楷體" w:eastAsia="標楷體" w:hAnsi="標楷體"/>
          <w:b/>
          <w:sz w:val="28"/>
          <w:szCs w:val="28"/>
        </w:rPr>
      </w:pPr>
      <w:r w:rsidRPr="00AA215E">
        <w:rPr>
          <w:rFonts w:ascii="標楷體" w:eastAsia="標楷體" w:hAnsi="標楷體" w:hint="eastAsia"/>
          <w:b/>
          <w:sz w:val="28"/>
          <w:szCs w:val="28"/>
        </w:rPr>
        <w:t>貳、</w:t>
      </w:r>
      <w:r w:rsidR="003C68A7">
        <w:rPr>
          <w:rFonts w:ascii="標楷體" w:eastAsia="標楷體" w:hAnsi="標楷體" w:hint="eastAsia"/>
          <w:b/>
          <w:sz w:val="28"/>
          <w:szCs w:val="28"/>
        </w:rPr>
        <w:t>計畫目標</w:t>
      </w:r>
    </w:p>
    <w:p w:rsidR="00E647A3" w:rsidRDefault="00E647A3" w:rsidP="003C68A7">
      <w:pPr>
        <w:adjustRightInd w:val="0"/>
        <w:snapToGrid w:val="0"/>
        <w:spacing w:line="460" w:lineRule="exact"/>
        <w:ind w:left="1134" w:hangingChars="405" w:hanging="1134"/>
        <w:rPr>
          <w:rFonts w:ascii="標楷體" w:eastAsia="標楷體" w:hAnsi="標楷體" w:cs="Arial"/>
          <w:sz w:val="28"/>
          <w:szCs w:val="28"/>
          <w:shd w:val="clear" w:color="auto" w:fill="FFFFFF"/>
        </w:rPr>
      </w:pPr>
      <w:r w:rsidRPr="00AA215E">
        <w:rPr>
          <w:rFonts w:ascii="標楷體" w:eastAsia="標楷體" w:hAnsi="標楷體" w:hint="eastAsia"/>
          <w:sz w:val="28"/>
          <w:szCs w:val="28"/>
        </w:rPr>
        <w:t xml:space="preserve">    一、配合</w:t>
      </w:r>
      <w:r w:rsidRPr="00AA215E">
        <w:rPr>
          <w:rFonts w:ascii="標楷體" w:eastAsia="標楷體" w:hAnsi="標楷體" w:hint="eastAsia"/>
          <w:bCs/>
          <w:sz w:val="28"/>
          <w:szCs w:val="28"/>
        </w:rPr>
        <w:t>國民教育階段學生學習精進計畫</w:t>
      </w:r>
      <w:r w:rsidRPr="00AA215E">
        <w:rPr>
          <w:rFonts w:ascii="標楷體" w:eastAsia="標楷體" w:hAnsi="標楷體" w:hint="eastAsia"/>
          <w:sz w:val="28"/>
          <w:szCs w:val="28"/>
        </w:rPr>
        <w:t>，發展</w:t>
      </w:r>
      <w:r w:rsidRPr="00AA215E">
        <w:rPr>
          <w:rFonts w:ascii="標楷體" w:eastAsia="標楷體" w:hAnsi="標楷體" w:cs="Arial" w:hint="eastAsia"/>
          <w:sz w:val="28"/>
          <w:szCs w:val="28"/>
          <w:shd w:val="clear" w:color="auto" w:fill="FFFFFF"/>
        </w:rPr>
        <w:t>低、中年級閱讀奠基課程。</w:t>
      </w:r>
    </w:p>
    <w:p w:rsidR="003C68A7" w:rsidRDefault="00E647A3" w:rsidP="003C68A7">
      <w:pPr>
        <w:adjustRightInd w:val="0"/>
        <w:snapToGrid w:val="0"/>
        <w:spacing w:line="460" w:lineRule="exact"/>
        <w:ind w:leftChars="233" w:left="1133" w:hangingChars="205" w:hanging="574"/>
        <w:rPr>
          <w:rFonts w:ascii="標楷體" w:eastAsia="標楷體" w:hAnsi="標楷體" w:cs="Arial" w:hint="eastAsia"/>
          <w:sz w:val="28"/>
          <w:szCs w:val="28"/>
          <w:shd w:val="clear" w:color="auto" w:fill="FFFFFF"/>
        </w:rPr>
      </w:pPr>
      <w:r>
        <w:rPr>
          <w:rFonts w:ascii="標楷體" w:eastAsia="標楷體" w:hAnsi="標楷體" w:hint="eastAsia"/>
          <w:sz w:val="28"/>
          <w:szCs w:val="28"/>
        </w:rPr>
        <w:t>二、提升</w:t>
      </w:r>
      <w:r w:rsidRPr="000C79D0">
        <w:rPr>
          <w:rFonts w:ascii="標楷體" w:eastAsia="標楷體" w:hAnsi="標楷體" w:hint="eastAsia"/>
          <w:sz w:val="28"/>
          <w:szCs w:val="28"/>
        </w:rPr>
        <w:t>學習成效之教學與評量</w:t>
      </w:r>
      <w:r>
        <w:rPr>
          <w:rFonts w:ascii="標楷體" w:eastAsia="標楷體" w:hAnsi="標楷體" w:hint="eastAsia"/>
          <w:sz w:val="28"/>
          <w:szCs w:val="28"/>
        </w:rPr>
        <w:t>，</w:t>
      </w:r>
      <w:r w:rsidRPr="000C79D0">
        <w:rPr>
          <w:rFonts w:ascii="標楷體" w:eastAsia="標楷體" w:hAnsi="標楷體" w:hint="eastAsia"/>
          <w:sz w:val="28"/>
          <w:szCs w:val="28"/>
        </w:rPr>
        <w:t>提升縣市教師教學能力(偏鄉學校優先)</w:t>
      </w:r>
    </w:p>
    <w:p w:rsidR="003C68A7" w:rsidRDefault="00E647A3" w:rsidP="003C68A7">
      <w:pPr>
        <w:adjustRightInd w:val="0"/>
        <w:snapToGrid w:val="0"/>
        <w:spacing w:line="460" w:lineRule="exact"/>
        <w:ind w:leftChars="233" w:left="1133" w:hangingChars="205" w:hanging="574"/>
        <w:rPr>
          <w:rFonts w:ascii="標楷體" w:eastAsia="標楷體" w:hAnsi="標楷體" w:hint="eastAsia"/>
          <w:bCs/>
          <w:sz w:val="28"/>
          <w:szCs w:val="28"/>
        </w:rPr>
      </w:pPr>
      <w:r>
        <w:rPr>
          <w:rFonts w:ascii="標楷體" w:eastAsia="標楷體" w:hAnsi="標楷體" w:cs="Arial" w:hint="eastAsia"/>
          <w:sz w:val="28"/>
          <w:szCs w:val="28"/>
          <w:shd w:val="clear" w:color="auto" w:fill="FFFFFF"/>
        </w:rPr>
        <w:t>三</w:t>
      </w:r>
      <w:r w:rsidRPr="00AA215E">
        <w:rPr>
          <w:rFonts w:ascii="標楷體" w:eastAsia="標楷體" w:hAnsi="標楷體" w:cs="Arial" w:hint="eastAsia"/>
          <w:sz w:val="28"/>
          <w:szCs w:val="28"/>
          <w:shd w:val="clear" w:color="auto" w:fill="FFFFFF"/>
        </w:rPr>
        <w:t>、</w:t>
      </w:r>
      <w:r w:rsidRPr="00AA215E">
        <w:rPr>
          <w:rFonts w:ascii="標楷體" w:eastAsia="標楷體" w:hAnsi="標楷體" w:hint="eastAsia"/>
          <w:bCs/>
          <w:sz w:val="28"/>
          <w:szCs w:val="28"/>
        </w:rPr>
        <w:t>擴展「國中晨讀123</w:t>
      </w:r>
      <w:r w:rsidR="003C68A7">
        <w:rPr>
          <w:rFonts w:ascii="標楷體" w:eastAsia="標楷體" w:hAnsi="標楷體" w:hint="eastAsia"/>
          <w:bCs/>
          <w:sz w:val="28"/>
          <w:szCs w:val="28"/>
        </w:rPr>
        <w:t>運動」至國民小學，培養學生閱讀習慣。</w:t>
      </w:r>
    </w:p>
    <w:p w:rsidR="003C68A7" w:rsidRDefault="00E647A3" w:rsidP="003C68A7">
      <w:pPr>
        <w:adjustRightInd w:val="0"/>
        <w:snapToGrid w:val="0"/>
        <w:spacing w:line="460" w:lineRule="exact"/>
        <w:ind w:leftChars="233" w:left="1133" w:hangingChars="205" w:hanging="574"/>
        <w:rPr>
          <w:rFonts w:ascii="標楷體" w:eastAsia="標楷體" w:hAnsi="標楷體" w:hint="eastAsia"/>
          <w:bCs/>
          <w:sz w:val="28"/>
          <w:szCs w:val="28"/>
        </w:rPr>
      </w:pPr>
      <w:r>
        <w:rPr>
          <w:rFonts w:ascii="標楷體" w:eastAsia="標楷體" w:hAnsi="標楷體" w:hint="eastAsia"/>
          <w:bCs/>
          <w:sz w:val="28"/>
          <w:szCs w:val="28"/>
        </w:rPr>
        <w:t>四</w:t>
      </w:r>
      <w:r w:rsidRPr="00AA215E">
        <w:rPr>
          <w:rFonts w:ascii="標楷體" w:eastAsia="標楷體" w:hAnsi="標楷體" w:hint="eastAsia"/>
          <w:bCs/>
          <w:sz w:val="28"/>
          <w:szCs w:val="28"/>
        </w:rPr>
        <w:t>、</w:t>
      </w:r>
      <w:r>
        <w:rPr>
          <w:rFonts w:ascii="標楷體" w:eastAsia="標楷體" w:hAnsi="標楷體" w:hint="eastAsia"/>
          <w:bCs/>
          <w:sz w:val="28"/>
          <w:szCs w:val="28"/>
        </w:rPr>
        <w:t>精進</w:t>
      </w:r>
      <w:r w:rsidRPr="00AA215E">
        <w:rPr>
          <w:rFonts w:ascii="標楷體" w:eastAsia="標楷體" w:hAnsi="標楷體" w:hint="eastAsia"/>
          <w:bCs/>
          <w:sz w:val="28"/>
          <w:szCs w:val="28"/>
        </w:rPr>
        <w:t>教師閱讀理解策略與教學方法，增益學生閱讀理解能力。</w:t>
      </w:r>
    </w:p>
    <w:p w:rsidR="00E647A3" w:rsidRPr="003C68A7" w:rsidRDefault="00E647A3" w:rsidP="003C68A7">
      <w:pPr>
        <w:adjustRightInd w:val="0"/>
        <w:snapToGrid w:val="0"/>
        <w:spacing w:line="460" w:lineRule="exact"/>
        <w:ind w:leftChars="233" w:left="1133" w:hangingChars="205" w:hanging="574"/>
        <w:rPr>
          <w:rFonts w:ascii="標楷體" w:eastAsia="標楷體" w:hAnsi="標楷體"/>
          <w:bCs/>
          <w:sz w:val="28"/>
          <w:szCs w:val="28"/>
        </w:rPr>
      </w:pPr>
      <w:r>
        <w:rPr>
          <w:rFonts w:ascii="標楷體" w:eastAsia="標楷體" w:hAnsi="標楷體" w:hint="eastAsia"/>
          <w:bCs/>
          <w:sz w:val="28"/>
          <w:szCs w:val="28"/>
        </w:rPr>
        <w:t>五、</w:t>
      </w:r>
      <w:r w:rsidRPr="000C79D0">
        <w:rPr>
          <w:rFonts w:ascii="標楷體" w:eastAsia="標楷體" w:hAnsi="Calibri" w:cs="標楷體" w:hint="eastAsia"/>
          <w:sz w:val="28"/>
          <w:szCs w:val="28"/>
          <w:lang w:val="zh-TW"/>
        </w:rPr>
        <w:t>推動教學輔導系統定期到偏鄉學校提供諮詢輔導，協助及支持學校發展，創新教學及進行翻轉教室之課程實驗。</w:t>
      </w:r>
    </w:p>
    <w:p w:rsidR="00E647A3" w:rsidRPr="00AA215E" w:rsidRDefault="00E647A3" w:rsidP="00E647A3">
      <w:pPr>
        <w:adjustRightInd w:val="0"/>
        <w:snapToGrid w:val="0"/>
        <w:spacing w:beforeLines="50" w:line="460" w:lineRule="exact"/>
        <w:jc w:val="both"/>
        <w:rPr>
          <w:rFonts w:ascii="標楷體" w:eastAsia="標楷體" w:hAnsi="標楷體"/>
          <w:sz w:val="28"/>
          <w:szCs w:val="28"/>
        </w:rPr>
      </w:pPr>
      <w:r w:rsidRPr="00AA215E">
        <w:rPr>
          <w:rFonts w:ascii="標楷體" w:eastAsia="標楷體" w:hAnsi="標楷體" w:hint="eastAsia"/>
          <w:b/>
          <w:sz w:val="28"/>
          <w:szCs w:val="28"/>
        </w:rPr>
        <w:t>參、辦理單位</w:t>
      </w:r>
    </w:p>
    <w:p w:rsidR="00E647A3" w:rsidRPr="00AA215E" w:rsidRDefault="00E647A3" w:rsidP="003C68A7">
      <w:pPr>
        <w:adjustRightInd w:val="0"/>
        <w:snapToGrid w:val="0"/>
        <w:spacing w:line="460" w:lineRule="exact"/>
        <w:ind w:leftChars="236" w:left="1132" w:hangingChars="202" w:hanging="566"/>
        <w:rPr>
          <w:rFonts w:ascii="標楷體" w:eastAsia="標楷體" w:hAnsi="標楷體"/>
          <w:sz w:val="28"/>
          <w:szCs w:val="28"/>
        </w:rPr>
      </w:pPr>
      <w:r w:rsidRPr="00AA215E">
        <w:rPr>
          <w:rFonts w:ascii="標楷體" w:eastAsia="標楷體" w:hAnsi="標楷體" w:hint="eastAsia"/>
          <w:sz w:val="28"/>
          <w:szCs w:val="28"/>
        </w:rPr>
        <w:t>一、</w:t>
      </w:r>
      <w:r>
        <w:rPr>
          <w:rFonts w:ascii="標楷體" w:eastAsia="標楷體" w:hAnsi="標楷體" w:hint="eastAsia"/>
          <w:sz w:val="28"/>
          <w:szCs w:val="28"/>
        </w:rPr>
        <w:t>主辦單位</w:t>
      </w:r>
      <w:r w:rsidRPr="00AA215E">
        <w:rPr>
          <w:rFonts w:ascii="標楷體" w:eastAsia="標楷體" w:hAnsi="標楷體" w:hint="eastAsia"/>
          <w:sz w:val="28"/>
          <w:szCs w:val="28"/>
        </w:rPr>
        <w:t>：教育部國民及學前教育署</w:t>
      </w:r>
    </w:p>
    <w:p w:rsidR="00E647A3" w:rsidRPr="00AA215E" w:rsidRDefault="00E647A3" w:rsidP="003C68A7">
      <w:pPr>
        <w:adjustRightInd w:val="0"/>
        <w:snapToGrid w:val="0"/>
        <w:spacing w:line="460" w:lineRule="exact"/>
        <w:ind w:leftChars="236" w:left="1132" w:hangingChars="202" w:hanging="566"/>
        <w:rPr>
          <w:rFonts w:ascii="標楷體" w:eastAsia="標楷體" w:hAnsi="標楷體"/>
          <w:sz w:val="28"/>
          <w:szCs w:val="28"/>
        </w:rPr>
      </w:pPr>
      <w:r w:rsidRPr="003C68A7">
        <w:rPr>
          <w:rFonts w:ascii="標楷體" w:eastAsia="標楷體" w:hAnsi="標楷體" w:hint="eastAsia"/>
          <w:sz w:val="28"/>
          <w:szCs w:val="28"/>
        </w:rPr>
        <w:t>二、</w:t>
      </w:r>
      <w:r>
        <w:rPr>
          <w:rFonts w:ascii="標楷體" w:eastAsia="標楷體" w:hAnsi="標楷體" w:hint="eastAsia"/>
          <w:sz w:val="28"/>
          <w:szCs w:val="28"/>
        </w:rPr>
        <w:t>承辦單位</w:t>
      </w:r>
      <w:r w:rsidRPr="00AA215E">
        <w:rPr>
          <w:rFonts w:ascii="標楷體" w:eastAsia="標楷體" w:hAnsi="標楷體" w:hint="eastAsia"/>
          <w:sz w:val="28"/>
          <w:szCs w:val="28"/>
        </w:rPr>
        <w:t>：教育部國語文課程與教學輔導組語文學習領域國語文組</w:t>
      </w:r>
    </w:p>
    <w:p w:rsidR="00E647A3" w:rsidRPr="00AA215E" w:rsidRDefault="00E647A3" w:rsidP="003C68A7">
      <w:pPr>
        <w:adjustRightInd w:val="0"/>
        <w:snapToGrid w:val="0"/>
        <w:spacing w:line="460" w:lineRule="exact"/>
        <w:ind w:leftChars="236" w:left="1132" w:hangingChars="202" w:hanging="566"/>
        <w:rPr>
          <w:rFonts w:ascii="標楷體" w:eastAsia="標楷體" w:hAnsi="標楷體"/>
          <w:sz w:val="28"/>
          <w:szCs w:val="28"/>
        </w:rPr>
      </w:pPr>
      <w:r w:rsidRPr="003C68A7">
        <w:rPr>
          <w:rFonts w:ascii="標楷體" w:eastAsia="標楷體" w:hAnsi="標楷體" w:hint="eastAsia"/>
          <w:sz w:val="28"/>
          <w:szCs w:val="28"/>
        </w:rPr>
        <w:t>三、協辦單位：花蓮縣語文</w:t>
      </w:r>
      <w:r w:rsidRPr="00AA215E">
        <w:rPr>
          <w:rFonts w:ascii="標楷體" w:eastAsia="標楷體" w:hAnsi="標楷體" w:hint="eastAsia"/>
          <w:sz w:val="28"/>
          <w:szCs w:val="28"/>
        </w:rPr>
        <w:t>學習領域國語文輔導團</w:t>
      </w:r>
    </w:p>
    <w:p w:rsidR="00E647A3" w:rsidRPr="00AA215E" w:rsidRDefault="00E647A3" w:rsidP="00E647A3">
      <w:pPr>
        <w:adjustRightInd w:val="0"/>
        <w:snapToGrid w:val="0"/>
        <w:spacing w:before="100" w:line="460" w:lineRule="exact"/>
        <w:rPr>
          <w:rFonts w:ascii="標楷體" w:eastAsia="標楷體" w:hAnsi="標楷體"/>
          <w:b/>
          <w:sz w:val="28"/>
          <w:szCs w:val="28"/>
        </w:rPr>
      </w:pPr>
      <w:r w:rsidRPr="00AA215E">
        <w:rPr>
          <w:rFonts w:ascii="標楷體" w:eastAsia="標楷體" w:hAnsi="標楷體" w:hint="eastAsia"/>
          <w:b/>
          <w:sz w:val="28"/>
          <w:szCs w:val="28"/>
        </w:rPr>
        <w:t>肆、辦理內容</w:t>
      </w:r>
    </w:p>
    <w:p w:rsidR="00E647A3" w:rsidRPr="00A40130" w:rsidRDefault="00E647A3" w:rsidP="003C68A7">
      <w:pPr>
        <w:adjustRightInd w:val="0"/>
        <w:snapToGrid w:val="0"/>
        <w:spacing w:line="460" w:lineRule="exact"/>
        <w:ind w:leftChars="236" w:left="1132" w:hangingChars="202" w:hanging="566"/>
        <w:rPr>
          <w:rFonts w:ascii="標楷體" w:eastAsia="標楷體" w:hAnsi="標楷體"/>
          <w:sz w:val="28"/>
          <w:szCs w:val="28"/>
        </w:rPr>
      </w:pPr>
      <w:r w:rsidRPr="00A40130">
        <w:rPr>
          <w:rFonts w:ascii="標楷體" w:eastAsia="標楷體" w:hAnsi="標楷體" w:hint="eastAsia"/>
          <w:sz w:val="28"/>
          <w:szCs w:val="28"/>
        </w:rPr>
        <w:t>一、以花蓮縣為基地，由央團委員指導、央團教師陪伴提升教師推動閱讀所需之專業知能，建構低、中年級的閱讀習慣與閱讀理解能力。二、以閱讀點燈課</w:t>
      </w:r>
      <w:r w:rsidRPr="00A40130">
        <w:rPr>
          <w:rFonts w:ascii="標楷體" w:eastAsia="標楷體" w:hAnsi="標楷體"/>
          <w:sz w:val="28"/>
          <w:szCs w:val="28"/>
        </w:rPr>
        <w:t>程，</w:t>
      </w:r>
      <w:r w:rsidRPr="00A40130">
        <w:rPr>
          <w:rFonts w:ascii="標楷體" w:eastAsia="標楷體" w:hAnsi="標楷體" w:hint="eastAsia"/>
          <w:sz w:val="28"/>
          <w:szCs w:val="28"/>
        </w:rPr>
        <w:t>發展低、中年級閱讀奠基課程，推動晨讀活動。</w:t>
      </w:r>
    </w:p>
    <w:p w:rsidR="003C68A7" w:rsidRDefault="00E647A3" w:rsidP="003C68A7">
      <w:pPr>
        <w:adjustRightInd w:val="0"/>
        <w:snapToGrid w:val="0"/>
        <w:spacing w:line="460" w:lineRule="exact"/>
        <w:ind w:leftChars="236" w:left="1132" w:hangingChars="202" w:hanging="566"/>
        <w:rPr>
          <w:rFonts w:ascii="標楷體" w:eastAsia="標楷體" w:hAnsi="標楷體" w:hint="eastAsia"/>
          <w:sz w:val="28"/>
          <w:szCs w:val="28"/>
        </w:rPr>
      </w:pPr>
      <w:r w:rsidRPr="00A40130">
        <w:rPr>
          <w:rFonts w:ascii="標楷體" w:eastAsia="標楷體" w:hAnsi="標楷體" w:hint="eastAsia"/>
          <w:sz w:val="28"/>
          <w:szCs w:val="28"/>
        </w:rPr>
        <w:t>三、透過專業增能與實作研討，帶動專業對話，進行教學設計，落實閱讀策略之實踐。</w:t>
      </w:r>
    </w:p>
    <w:p w:rsidR="00E647A3" w:rsidRDefault="00E647A3" w:rsidP="003C68A7">
      <w:pPr>
        <w:adjustRightInd w:val="0"/>
        <w:snapToGrid w:val="0"/>
        <w:spacing w:line="460" w:lineRule="exact"/>
        <w:ind w:leftChars="236" w:left="1132" w:hangingChars="202" w:hanging="566"/>
        <w:rPr>
          <w:rFonts w:ascii="標楷體" w:eastAsia="標楷體" w:hAnsi="標楷體" w:hint="eastAsia"/>
          <w:sz w:val="28"/>
          <w:szCs w:val="28"/>
        </w:rPr>
      </w:pPr>
      <w:r w:rsidRPr="00A40130">
        <w:rPr>
          <w:rFonts w:ascii="標楷體" w:eastAsia="標楷體" w:hAnsi="標楷體" w:hint="eastAsia"/>
          <w:sz w:val="28"/>
          <w:szCs w:val="28"/>
        </w:rPr>
        <w:t>四、引導學生培養閱讀習慣，以激發學生的閱讀興趣、信心和成效。</w:t>
      </w:r>
    </w:p>
    <w:tbl>
      <w:tblPr>
        <w:tblW w:w="87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5072"/>
        <w:gridCol w:w="1960"/>
      </w:tblGrid>
      <w:tr w:rsidR="003C68A7" w:rsidRPr="00626C2C" w:rsidTr="003E03C2">
        <w:trPr>
          <w:trHeight w:val="605"/>
        </w:trPr>
        <w:tc>
          <w:tcPr>
            <w:tcW w:w="974" w:type="pct"/>
            <w:shd w:val="clear" w:color="auto" w:fill="E5DFEC"/>
            <w:vAlign w:val="center"/>
          </w:tcPr>
          <w:p w:rsidR="003C68A7" w:rsidRPr="00626C2C" w:rsidRDefault="003C68A7" w:rsidP="003E03C2">
            <w:pPr>
              <w:widowControl/>
              <w:snapToGrid w:val="0"/>
              <w:ind w:leftChars="-33" w:left="-79" w:rightChars="-25" w:right="-60"/>
              <w:jc w:val="center"/>
              <w:rPr>
                <w:rFonts w:eastAsia="標楷體"/>
                <w:b/>
                <w:color w:val="000000"/>
                <w:kern w:val="0"/>
              </w:rPr>
            </w:pPr>
            <w:r w:rsidRPr="00626C2C">
              <w:rPr>
                <w:rFonts w:eastAsia="標楷體"/>
                <w:b/>
                <w:color w:val="000000"/>
                <w:kern w:val="0"/>
              </w:rPr>
              <w:lastRenderedPageBreak/>
              <w:t>日期</w:t>
            </w:r>
            <w:r w:rsidRPr="00626C2C">
              <w:rPr>
                <w:rFonts w:eastAsia="標楷體"/>
                <w:b/>
                <w:color w:val="000000"/>
                <w:kern w:val="0"/>
              </w:rPr>
              <w:t>/</w:t>
            </w:r>
            <w:r w:rsidRPr="00626C2C">
              <w:rPr>
                <w:rFonts w:eastAsia="標楷體"/>
                <w:b/>
                <w:color w:val="000000"/>
                <w:kern w:val="0"/>
              </w:rPr>
              <w:t>時間</w:t>
            </w:r>
          </w:p>
        </w:tc>
        <w:tc>
          <w:tcPr>
            <w:tcW w:w="2903" w:type="pct"/>
            <w:shd w:val="clear" w:color="auto" w:fill="E5DFEC"/>
            <w:vAlign w:val="center"/>
          </w:tcPr>
          <w:p w:rsidR="003C68A7" w:rsidRPr="00626C2C" w:rsidRDefault="003C68A7" w:rsidP="003E03C2">
            <w:pPr>
              <w:widowControl/>
              <w:snapToGrid w:val="0"/>
              <w:jc w:val="center"/>
              <w:rPr>
                <w:rFonts w:eastAsia="標楷體"/>
                <w:b/>
                <w:color w:val="000000"/>
                <w:kern w:val="0"/>
              </w:rPr>
            </w:pPr>
            <w:r w:rsidRPr="00626C2C">
              <w:rPr>
                <w:rFonts w:eastAsia="標楷體"/>
                <w:b/>
                <w:color w:val="000000"/>
                <w:kern w:val="0"/>
              </w:rPr>
              <w:t>實</w:t>
            </w:r>
            <w:r>
              <w:rPr>
                <w:rFonts w:eastAsia="標楷體" w:hint="eastAsia"/>
                <w:b/>
                <w:color w:val="000000"/>
                <w:kern w:val="0"/>
              </w:rPr>
              <w:t>施</w:t>
            </w:r>
            <w:r w:rsidRPr="00626C2C">
              <w:rPr>
                <w:rFonts w:eastAsia="標楷體"/>
                <w:b/>
                <w:color w:val="000000"/>
                <w:kern w:val="0"/>
              </w:rPr>
              <w:t>內容</w:t>
            </w:r>
            <w:r>
              <w:rPr>
                <w:rFonts w:eastAsia="標楷體" w:hint="eastAsia"/>
                <w:b/>
                <w:color w:val="000000"/>
                <w:kern w:val="0"/>
              </w:rPr>
              <w:t>(</w:t>
            </w:r>
            <w:r>
              <w:rPr>
                <w:rFonts w:eastAsia="標楷體" w:hint="eastAsia"/>
                <w:b/>
                <w:color w:val="000000"/>
                <w:kern w:val="0"/>
              </w:rPr>
              <w:t>課程內容</w:t>
            </w:r>
            <w:r>
              <w:rPr>
                <w:rFonts w:eastAsia="標楷體" w:hint="eastAsia"/>
                <w:b/>
                <w:color w:val="000000"/>
                <w:kern w:val="0"/>
              </w:rPr>
              <w:t>)</w:t>
            </w:r>
          </w:p>
        </w:tc>
        <w:tc>
          <w:tcPr>
            <w:tcW w:w="1122" w:type="pct"/>
            <w:shd w:val="clear" w:color="auto" w:fill="E5DFEC"/>
            <w:vAlign w:val="center"/>
          </w:tcPr>
          <w:p w:rsidR="003C68A7" w:rsidRPr="00626C2C" w:rsidRDefault="003C68A7" w:rsidP="003E03C2">
            <w:pPr>
              <w:widowControl/>
              <w:snapToGrid w:val="0"/>
              <w:ind w:leftChars="-33" w:left="-79" w:rightChars="-30" w:right="-72"/>
              <w:jc w:val="center"/>
              <w:rPr>
                <w:rFonts w:eastAsia="標楷體"/>
                <w:b/>
                <w:color w:val="000000"/>
                <w:kern w:val="0"/>
              </w:rPr>
            </w:pPr>
            <w:r w:rsidRPr="00626C2C">
              <w:rPr>
                <w:rFonts w:eastAsia="標楷體"/>
                <w:b/>
                <w:color w:val="000000"/>
                <w:kern w:val="0"/>
              </w:rPr>
              <w:t>講師</w:t>
            </w:r>
            <w:r>
              <w:rPr>
                <w:rFonts w:eastAsia="標楷體" w:hint="eastAsia"/>
                <w:b/>
                <w:color w:val="000000"/>
                <w:kern w:val="0"/>
              </w:rPr>
              <w:t>/</w:t>
            </w:r>
            <w:r>
              <w:rPr>
                <w:rFonts w:eastAsia="標楷體" w:hint="eastAsia"/>
                <w:b/>
                <w:color w:val="000000"/>
                <w:kern w:val="0"/>
              </w:rPr>
              <w:t>主持人</w:t>
            </w:r>
          </w:p>
        </w:tc>
      </w:tr>
      <w:tr w:rsidR="003C68A7" w:rsidRPr="00626C2C" w:rsidTr="003C68A7">
        <w:trPr>
          <w:trHeight w:val="1603"/>
        </w:trPr>
        <w:tc>
          <w:tcPr>
            <w:tcW w:w="974" w:type="pct"/>
            <w:shd w:val="clear" w:color="auto" w:fill="auto"/>
          </w:tcPr>
          <w:p w:rsidR="003C68A7" w:rsidRDefault="003C68A7" w:rsidP="003E03C2">
            <w:pPr>
              <w:spacing w:line="400" w:lineRule="exact"/>
              <w:jc w:val="center"/>
              <w:rPr>
                <w:rFonts w:ascii="標楷體" w:eastAsia="標楷體" w:hAnsi="標楷體" w:hint="eastAsia"/>
              </w:rPr>
            </w:pPr>
            <w:r>
              <w:rPr>
                <w:rFonts w:ascii="標楷體" w:eastAsia="標楷體" w:hAnsi="標楷體" w:hint="eastAsia"/>
              </w:rPr>
              <w:t>8/20</w:t>
            </w:r>
          </w:p>
          <w:p w:rsidR="003C68A7" w:rsidRPr="008F104E" w:rsidRDefault="003C68A7" w:rsidP="003E03C2">
            <w:pPr>
              <w:spacing w:line="400" w:lineRule="exact"/>
              <w:jc w:val="center"/>
              <w:rPr>
                <w:rFonts w:ascii="標楷體" w:eastAsia="標楷體" w:hAnsi="標楷體" w:hint="eastAsia"/>
              </w:rPr>
            </w:pPr>
            <w:r>
              <w:rPr>
                <w:rFonts w:ascii="標楷體" w:eastAsia="標楷體" w:hAnsi="標楷體" w:hint="eastAsia"/>
              </w:rPr>
              <w:t>10:00~16:30</w:t>
            </w:r>
          </w:p>
        </w:tc>
        <w:tc>
          <w:tcPr>
            <w:tcW w:w="2903" w:type="pct"/>
          </w:tcPr>
          <w:p w:rsidR="003C68A7" w:rsidRPr="008F104E" w:rsidRDefault="003C68A7" w:rsidP="003E03C2">
            <w:pPr>
              <w:spacing w:line="400" w:lineRule="exact"/>
              <w:jc w:val="center"/>
              <w:rPr>
                <w:rFonts w:ascii="標楷體" w:eastAsia="標楷體" w:hAnsi="標楷體" w:hint="eastAsia"/>
              </w:rPr>
            </w:pPr>
            <w:r>
              <w:rPr>
                <w:rFonts w:ascii="標楷體" w:eastAsia="標楷體" w:hAnsi="標楷體" w:hint="eastAsia"/>
              </w:rPr>
              <w:t>以國語課文為主，搭配教育部新生贈書，研發有助學生「聽說」「讀說」「聽寫」「讀寫」的活動</w:t>
            </w:r>
          </w:p>
        </w:tc>
        <w:tc>
          <w:tcPr>
            <w:tcW w:w="1122" w:type="pct"/>
          </w:tcPr>
          <w:p w:rsidR="003C68A7" w:rsidRDefault="003C68A7" w:rsidP="003E03C2">
            <w:pPr>
              <w:spacing w:line="400" w:lineRule="exact"/>
              <w:jc w:val="center"/>
              <w:rPr>
                <w:rFonts w:ascii="標楷體" w:eastAsia="標楷體" w:hAnsi="標楷體" w:hint="eastAsia"/>
              </w:rPr>
            </w:pPr>
            <w:r w:rsidRPr="003C68A7">
              <w:rPr>
                <w:rFonts w:ascii="標楷體" w:eastAsia="標楷體" w:hAnsi="標楷體" w:hint="eastAsia"/>
              </w:rPr>
              <w:t>臺北市立大學</w:t>
            </w:r>
          </w:p>
          <w:p w:rsidR="003C68A7" w:rsidRPr="008F104E" w:rsidRDefault="003C68A7" w:rsidP="003E03C2">
            <w:pPr>
              <w:spacing w:line="400" w:lineRule="exact"/>
              <w:jc w:val="center"/>
              <w:rPr>
                <w:rFonts w:ascii="標楷體" w:eastAsia="標楷體" w:hAnsi="標楷體" w:hint="eastAsia"/>
              </w:rPr>
            </w:pPr>
            <w:r>
              <w:rPr>
                <w:rFonts w:ascii="標楷體" w:eastAsia="標楷體" w:hAnsi="標楷體" w:hint="eastAsia"/>
              </w:rPr>
              <w:t>陳欣希教授</w:t>
            </w:r>
          </w:p>
        </w:tc>
      </w:tr>
      <w:tr w:rsidR="003C68A7" w:rsidRPr="00626C2C" w:rsidTr="003C68A7">
        <w:trPr>
          <w:trHeight w:val="1618"/>
        </w:trPr>
        <w:tc>
          <w:tcPr>
            <w:tcW w:w="974" w:type="pct"/>
            <w:shd w:val="clear" w:color="auto" w:fill="auto"/>
          </w:tcPr>
          <w:p w:rsidR="003C68A7" w:rsidRDefault="003C68A7" w:rsidP="003E03C2">
            <w:pPr>
              <w:spacing w:line="400" w:lineRule="exact"/>
              <w:jc w:val="center"/>
              <w:rPr>
                <w:rFonts w:ascii="標楷體" w:eastAsia="標楷體" w:hAnsi="標楷體" w:hint="eastAsia"/>
              </w:rPr>
            </w:pPr>
            <w:r>
              <w:rPr>
                <w:rFonts w:ascii="標楷體" w:eastAsia="標楷體" w:hAnsi="標楷體" w:hint="eastAsia"/>
              </w:rPr>
              <w:t>8/21</w:t>
            </w:r>
          </w:p>
          <w:p w:rsidR="003C68A7" w:rsidRPr="004B7CC0" w:rsidRDefault="003C68A7" w:rsidP="003E03C2">
            <w:pPr>
              <w:spacing w:line="400" w:lineRule="exact"/>
              <w:jc w:val="center"/>
              <w:rPr>
                <w:rFonts w:ascii="標楷體" w:eastAsia="標楷體" w:hAnsi="標楷體" w:hint="eastAsia"/>
              </w:rPr>
            </w:pPr>
            <w:r>
              <w:rPr>
                <w:rFonts w:ascii="標楷體" w:eastAsia="標楷體" w:hAnsi="標楷體" w:hint="eastAsia"/>
              </w:rPr>
              <w:t>08:30~15:30</w:t>
            </w:r>
          </w:p>
        </w:tc>
        <w:tc>
          <w:tcPr>
            <w:tcW w:w="2903" w:type="pct"/>
          </w:tcPr>
          <w:p w:rsidR="003C68A7" w:rsidRDefault="003C68A7" w:rsidP="003E03C2">
            <w:pPr>
              <w:spacing w:line="400" w:lineRule="exact"/>
              <w:rPr>
                <w:rFonts w:ascii="標楷體" w:eastAsia="標楷體" w:hAnsi="標楷體" w:hint="eastAsia"/>
              </w:rPr>
            </w:pPr>
            <w:r>
              <w:rPr>
                <w:rFonts w:ascii="標楷體" w:eastAsia="標楷體" w:hAnsi="標楷體" w:hint="eastAsia"/>
              </w:rPr>
              <w:t>1.以影音或照片文字紀錄實作歷程與成果</w:t>
            </w:r>
          </w:p>
          <w:p w:rsidR="003C68A7" w:rsidRPr="00F55F04" w:rsidRDefault="003C68A7" w:rsidP="003E03C2">
            <w:pPr>
              <w:spacing w:line="400" w:lineRule="exact"/>
              <w:rPr>
                <w:rFonts w:ascii="標楷體" w:eastAsia="標楷體" w:hAnsi="標楷體" w:hint="eastAsia"/>
              </w:rPr>
            </w:pPr>
            <w:r>
              <w:rPr>
                <w:rFonts w:ascii="標楷體" w:eastAsia="標楷體" w:hAnsi="標楷體" w:hint="eastAsia"/>
              </w:rPr>
              <w:t>2.以線上研習讓縣內老師增能並蒐集回饋</w:t>
            </w:r>
          </w:p>
        </w:tc>
        <w:tc>
          <w:tcPr>
            <w:tcW w:w="1122" w:type="pct"/>
          </w:tcPr>
          <w:p w:rsidR="003C68A7" w:rsidRDefault="003C68A7" w:rsidP="003C68A7">
            <w:pPr>
              <w:spacing w:line="400" w:lineRule="exact"/>
              <w:jc w:val="center"/>
              <w:rPr>
                <w:rFonts w:ascii="標楷體" w:eastAsia="標楷體" w:hAnsi="標楷體" w:hint="eastAsia"/>
              </w:rPr>
            </w:pPr>
            <w:r w:rsidRPr="003C68A7">
              <w:rPr>
                <w:rFonts w:ascii="標楷體" w:eastAsia="標楷體" w:hAnsi="標楷體" w:hint="eastAsia"/>
              </w:rPr>
              <w:t>臺北市立大學</w:t>
            </w:r>
          </w:p>
          <w:p w:rsidR="003C68A7" w:rsidRPr="004B7CC0" w:rsidRDefault="003C68A7" w:rsidP="003C68A7">
            <w:pPr>
              <w:spacing w:line="400" w:lineRule="exact"/>
              <w:jc w:val="center"/>
              <w:rPr>
                <w:rFonts w:ascii="標楷體" w:eastAsia="標楷體" w:hAnsi="標楷體" w:hint="eastAsia"/>
              </w:rPr>
            </w:pPr>
            <w:r>
              <w:rPr>
                <w:rFonts w:ascii="標楷體" w:eastAsia="標楷體" w:hAnsi="標楷體" w:hint="eastAsia"/>
              </w:rPr>
              <w:t>陳欣希教授</w:t>
            </w:r>
          </w:p>
        </w:tc>
      </w:tr>
    </w:tbl>
    <w:p w:rsidR="003C68A7" w:rsidRPr="00A40130" w:rsidRDefault="003C68A7" w:rsidP="00E647A3">
      <w:pPr>
        <w:pStyle w:val="a8"/>
        <w:spacing w:line="460" w:lineRule="exact"/>
        <w:rPr>
          <w:rFonts w:ascii="標楷體" w:eastAsia="標楷體" w:hAnsi="標楷體"/>
          <w:sz w:val="28"/>
          <w:szCs w:val="28"/>
        </w:rPr>
      </w:pPr>
    </w:p>
    <w:p w:rsidR="00E647A3" w:rsidRPr="00AA215E" w:rsidRDefault="00E647A3" w:rsidP="00E647A3">
      <w:pPr>
        <w:autoSpaceDE w:val="0"/>
        <w:autoSpaceDN w:val="0"/>
        <w:adjustRightInd w:val="0"/>
        <w:snapToGrid w:val="0"/>
        <w:spacing w:line="460" w:lineRule="exact"/>
        <w:rPr>
          <w:rFonts w:ascii="標楷體" w:eastAsia="標楷體" w:hAnsi="標楷體"/>
          <w:b/>
          <w:sz w:val="28"/>
          <w:szCs w:val="28"/>
        </w:rPr>
      </w:pPr>
      <w:r>
        <w:rPr>
          <w:rFonts w:ascii="標楷體" w:eastAsia="標楷體" w:hAnsi="標楷體" w:hint="eastAsia"/>
          <w:b/>
          <w:sz w:val="28"/>
          <w:szCs w:val="28"/>
        </w:rPr>
        <w:t>伍</w:t>
      </w:r>
      <w:r w:rsidRPr="00AA215E">
        <w:rPr>
          <w:rFonts w:ascii="標楷體" w:eastAsia="標楷體" w:hAnsi="標楷體" w:hint="eastAsia"/>
          <w:b/>
          <w:sz w:val="28"/>
          <w:szCs w:val="28"/>
        </w:rPr>
        <w:t>、參加人員</w:t>
      </w:r>
    </w:p>
    <w:p w:rsidR="003C68A7" w:rsidRDefault="003C68A7" w:rsidP="003C68A7">
      <w:pPr>
        <w:adjustRightInd w:val="0"/>
        <w:snapToGrid w:val="0"/>
        <w:spacing w:line="460" w:lineRule="exact"/>
        <w:ind w:leftChars="236" w:left="1132" w:hangingChars="202" w:hanging="566"/>
        <w:rPr>
          <w:rFonts w:ascii="標楷體" w:eastAsia="標楷體" w:hAnsi="標楷體"/>
          <w:sz w:val="28"/>
          <w:szCs w:val="28"/>
        </w:rPr>
      </w:pPr>
      <w:r w:rsidRPr="003C68A7">
        <w:rPr>
          <w:rFonts w:ascii="標楷體" w:eastAsia="標楷體" w:hAnsi="標楷體" w:hint="eastAsia"/>
          <w:sz w:val="28"/>
          <w:szCs w:val="28"/>
        </w:rPr>
        <w:t>一、花蓮縣</w:t>
      </w:r>
      <w:r w:rsidRPr="00B733C7">
        <w:rPr>
          <w:rFonts w:ascii="標楷體" w:eastAsia="標楷體" w:hAnsi="標楷體" w:hint="eastAsia"/>
          <w:sz w:val="28"/>
          <w:szCs w:val="28"/>
        </w:rPr>
        <w:t>國語文領域國小輔導團團員</w:t>
      </w:r>
    </w:p>
    <w:p w:rsidR="003C68A7" w:rsidRDefault="003C68A7" w:rsidP="003C68A7">
      <w:pPr>
        <w:adjustRightInd w:val="0"/>
        <w:snapToGrid w:val="0"/>
        <w:spacing w:line="46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二、</w:t>
      </w:r>
      <w:r w:rsidRPr="00B733C7">
        <w:rPr>
          <w:rFonts w:ascii="標楷體" w:eastAsia="標楷體" w:hAnsi="標楷體" w:hint="eastAsia"/>
          <w:sz w:val="28"/>
          <w:szCs w:val="28"/>
        </w:rPr>
        <w:t>花蓮縣各國小國語文領域研究會、社群成員</w:t>
      </w:r>
    </w:p>
    <w:p w:rsidR="003C68A7" w:rsidRPr="003C68A7" w:rsidRDefault="003C68A7" w:rsidP="003C68A7">
      <w:pPr>
        <w:adjustRightInd w:val="0"/>
        <w:snapToGrid w:val="0"/>
        <w:spacing w:line="46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三、</w:t>
      </w:r>
      <w:r w:rsidRPr="00887490">
        <w:rPr>
          <w:rFonts w:ascii="標楷體" w:eastAsia="標楷體" w:hAnsi="標楷體"/>
          <w:sz w:val="28"/>
          <w:szCs w:val="28"/>
        </w:rPr>
        <w:t>教育部中央課程與教學</w:t>
      </w:r>
      <w:r w:rsidRPr="003C68A7">
        <w:rPr>
          <w:rFonts w:ascii="標楷體" w:eastAsia="標楷體" w:hAnsi="標楷體"/>
          <w:sz w:val="28"/>
          <w:szCs w:val="28"/>
        </w:rPr>
        <w:t>語文學習領域國語文組</w:t>
      </w:r>
      <w:r w:rsidRPr="00887490">
        <w:rPr>
          <w:rFonts w:ascii="標楷體" w:eastAsia="標楷體" w:hAnsi="標楷體"/>
          <w:sz w:val="28"/>
          <w:szCs w:val="28"/>
        </w:rPr>
        <w:t>輔導群委員。</w:t>
      </w:r>
    </w:p>
    <w:p w:rsidR="00E647A3" w:rsidRDefault="00E647A3" w:rsidP="003C68A7">
      <w:pPr>
        <w:tabs>
          <w:tab w:val="num" w:pos="1036"/>
          <w:tab w:val="left" w:pos="5220"/>
        </w:tabs>
        <w:adjustRightInd w:val="0"/>
        <w:snapToGrid w:val="0"/>
        <w:spacing w:line="460" w:lineRule="exact"/>
        <w:rPr>
          <w:rFonts w:ascii="標楷體" w:eastAsia="標楷體" w:hAnsi="標楷體"/>
          <w:sz w:val="28"/>
          <w:szCs w:val="28"/>
        </w:rPr>
      </w:pPr>
      <w:r w:rsidRPr="00AA215E">
        <w:rPr>
          <w:rFonts w:ascii="標楷體" w:eastAsia="標楷體" w:hAnsi="標楷體" w:hint="eastAsia"/>
          <w:b/>
          <w:sz w:val="28"/>
          <w:szCs w:val="28"/>
        </w:rPr>
        <w:t>陸、實施期程：</w:t>
      </w:r>
      <w:r>
        <w:rPr>
          <w:rFonts w:ascii="標楷體" w:eastAsia="標楷體" w:hAnsi="標楷體" w:hint="eastAsia"/>
          <w:sz w:val="28"/>
          <w:szCs w:val="28"/>
        </w:rPr>
        <w:t>105</w:t>
      </w:r>
      <w:r w:rsidRPr="00AA215E">
        <w:rPr>
          <w:rFonts w:ascii="標楷體" w:eastAsia="標楷體" w:hAnsi="標楷體" w:hint="eastAsia"/>
          <w:sz w:val="28"/>
          <w:szCs w:val="28"/>
        </w:rPr>
        <w:t>年</w:t>
      </w:r>
      <w:r>
        <w:rPr>
          <w:rFonts w:ascii="標楷體" w:eastAsia="標楷體" w:hAnsi="標楷體" w:hint="eastAsia"/>
          <w:sz w:val="28"/>
          <w:szCs w:val="28"/>
        </w:rPr>
        <w:t>8</w:t>
      </w:r>
      <w:r w:rsidRPr="00AA215E">
        <w:rPr>
          <w:rFonts w:ascii="標楷體" w:eastAsia="標楷體" w:hAnsi="標楷體" w:hint="eastAsia"/>
          <w:sz w:val="28"/>
          <w:szCs w:val="28"/>
        </w:rPr>
        <w:t>月</w:t>
      </w:r>
      <w:r w:rsidR="003C68A7">
        <w:rPr>
          <w:rFonts w:ascii="標楷體" w:eastAsia="標楷體" w:hAnsi="標楷體" w:hint="eastAsia"/>
          <w:sz w:val="28"/>
          <w:szCs w:val="28"/>
        </w:rPr>
        <w:t>20日至8月21日</w:t>
      </w:r>
    </w:p>
    <w:p w:rsidR="00E647A3" w:rsidRPr="00155F15" w:rsidRDefault="00E647A3" w:rsidP="00E647A3">
      <w:pPr>
        <w:snapToGrid w:val="0"/>
        <w:rPr>
          <w:rFonts w:ascii="標楷體" w:eastAsia="標楷體" w:hAnsi="標楷體"/>
          <w:b/>
          <w:sz w:val="28"/>
          <w:szCs w:val="28"/>
        </w:rPr>
      </w:pPr>
      <w:r w:rsidRPr="00155F15">
        <w:rPr>
          <w:rFonts w:ascii="標楷體" w:eastAsia="標楷體" w:hAnsi="標楷體" w:hint="eastAsia"/>
          <w:b/>
          <w:vanish/>
          <w:sz w:val="28"/>
          <w:szCs w:val="28"/>
        </w:rPr>
        <w:t>，</w:t>
      </w:r>
      <w:r w:rsidRPr="00155F15">
        <w:rPr>
          <w:rFonts w:ascii="標楷體" w:eastAsia="標楷體" w:hAnsi="標楷體" w:hint="eastAsia"/>
          <w:b/>
          <w:vanish/>
          <w:sz w:val="28"/>
          <w:szCs w:val="28"/>
        </w:rPr>
        <w:pgNum/>
      </w:r>
      <w:r w:rsidRPr="00155F15">
        <w:rPr>
          <w:rFonts w:eastAsia="標楷體" w:hAnsi="標楷體" w:hint="eastAsia"/>
          <w:b/>
          <w:vanish/>
          <w:sz w:val="28"/>
          <w:szCs w:val="28"/>
        </w:rPr>
        <w:t>﷽﷽﷽﷽﷽﷽﷽﷽﷽﷽﷽﷽﷽﷽﷽﷽﷽﷽</w:t>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vanish/>
          <w:sz w:val="28"/>
          <w:szCs w:val="28"/>
        </w:rPr>
        <w:pgNum/>
      </w:r>
      <w:r w:rsidRPr="00155F15">
        <w:rPr>
          <w:rFonts w:ascii="標楷體" w:eastAsia="標楷體" w:hAnsi="標楷體" w:hint="eastAsia"/>
          <w:b/>
          <w:sz w:val="28"/>
          <w:szCs w:val="28"/>
        </w:rPr>
        <w:t>柒、</w:t>
      </w:r>
      <w:r w:rsidR="003C68A7" w:rsidRPr="00B52395">
        <w:rPr>
          <w:rFonts w:ascii="標楷體" w:eastAsia="標楷體" w:hAnsi="標楷體" w:hint="eastAsia"/>
          <w:b/>
          <w:sz w:val="28"/>
          <w:szCs w:val="28"/>
        </w:rPr>
        <w:t>預期效益</w:t>
      </w:r>
    </w:p>
    <w:p w:rsidR="00E647A3" w:rsidRDefault="00E647A3" w:rsidP="00E647A3">
      <w:pPr>
        <w:adjustRightInd w:val="0"/>
        <w:snapToGrid w:val="0"/>
        <w:spacing w:line="460" w:lineRule="exact"/>
        <w:ind w:left="1120" w:hangingChars="400" w:hanging="1120"/>
        <w:rPr>
          <w:rFonts w:ascii="標楷體" w:eastAsia="標楷體" w:hAnsi="標楷體"/>
          <w:sz w:val="28"/>
          <w:szCs w:val="28"/>
        </w:rPr>
      </w:pPr>
      <w:r w:rsidRPr="00AA215E">
        <w:rPr>
          <w:rFonts w:ascii="標楷體" w:eastAsia="標楷體" w:hAnsi="標楷體" w:hint="eastAsia"/>
          <w:sz w:val="28"/>
          <w:szCs w:val="28"/>
        </w:rPr>
        <w:t xml:space="preserve">    一、</w:t>
      </w:r>
      <w:r>
        <w:rPr>
          <w:rFonts w:ascii="標楷體" w:eastAsia="標楷體" w:hAnsi="標楷體" w:hint="eastAsia"/>
          <w:sz w:val="28"/>
          <w:szCs w:val="28"/>
        </w:rPr>
        <w:t>能</w:t>
      </w:r>
      <w:r>
        <w:rPr>
          <w:rFonts w:ascii="標楷體" w:eastAsia="標楷體" w:hAnsi="標楷體" w:hint="eastAsia"/>
          <w:bCs/>
          <w:sz w:val="28"/>
          <w:szCs w:val="28"/>
        </w:rPr>
        <w:t>提升偏鄉縣市</w:t>
      </w:r>
      <w:r w:rsidRPr="00AA215E">
        <w:rPr>
          <w:rFonts w:ascii="標楷體" w:eastAsia="標楷體" w:hAnsi="標楷體" w:hint="eastAsia"/>
          <w:bCs/>
          <w:sz w:val="28"/>
          <w:szCs w:val="28"/>
        </w:rPr>
        <w:t>教師</w:t>
      </w:r>
      <w:r>
        <w:rPr>
          <w:rFonts w:ascii="標楷體" w:eastAsia="標楷體" w:hAnsi="標楷體" w:hint="eastAsia"/>
          <w:bCs/>
          <w:sz w:val="28"/>
          <w:szCs w:val="28"/>
        </w:rPr>
        <w:t>教學能力，研發</w:t>
      </w:r>
      <w:r w:rsidRPr="00AA215E">
        <w:rPr>
          <w:rFonts w:ascii="標楷體" w:eastAsia="標楷體" w:hAnsi="標楷體" w:hint="eastAsia"/>
          <w:bCs/>
          <w:sz w:val="28"/>
          <w:szCs w:val="28"/>
        </w:rPr>
        <w:t>閱讀理解策略與教學方法，</w:t>
      </w:r>
      <w:r>
        <w:rPr>
          <w:rFonts w:ascii="標楷體" w:eastAsia="標楷體" w:hAnsi="標楷體" w:hint="eastAsia"/>
          <w:bCs/>
          <w:sz w:val="28"/>
          <w:szCs w:val="28"/>
        </w:rPr>
        <w:t>增益專業，有效教學。</w:t>
      </w:r>
    </w:p>
    <w:p w:rsidR="00E647A3" w:rsidRDefault="00E647A3" w:rsidP="00E647A3">
      <w:pPr>
        <w:adjustRightInd w:val="0"/>
        <w:snapToGrid w:val="0"/>
        <w:spacing w:line="46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二、能配合學習精進計畫，研發國小低中年級課程設計，學生能奠基閱讀基礎，提</w:t>
      </w:r>
      <w:r w:rsidRPr="00AA215E">
        <w:rPr>
          <w:rFonts w:ascii="標楷體" w:eastAsia="標楷體" w:hAnsi="標楷體" w:hint="eastAsia"/>
          <w:sz w:val="28"/>
          <w:szCs w:val="28"/>
        </w:rPr>
        <w:t>升</w:t>
      </w:r>
      <w:r>
        <w:rPr>
          <w:rFonts w:ascii="標楷體" w:eastAsia="標楷體" w:hAnsi="標楷體" w:hint="eastAsia"/>
          <w:sz w:val="28"/>
          <w:szCs w:val="28"/>
        </w:rPr>
        <w:t>閱讀</w:t>
      </w:r>
      <w:r w:rsidRPr="00AA215E">
        <w:rPr>
          <w:rFonts w:ascii="標楷體" w:eastAsia="標楷體" w:hAnsi="標楷體" w:hint="eastAsia"/>
          <w:sz w:val="28"/>
          <w:szCs w:val="28"/>
        </w:rPr>
        <w:t>興趣</w:t>
      </w:r>
      <w:r>
        <w:rPr>
          <w:rFonts w:ascii="標楷體" w:eastAsia="標楷體" w:hAnsi="標楷體" w:hint="eastAsia"/>
          <w:sz w:val="28"/>
          <w:szCs w:val="28"/>
        </w:rPr>
        <w:t>與能力。</w:t>
      </w:r>
    </w:p>
    <w:p w:rsidR="00E647A3" w:rsidRPr="00AA215E" w:rsidRDefault="00E647A3" w:rsidP="00E647A3">
      <w:pPr>
        <w:adjustRightInd w:val="0"/>
        <w:snapToGrid w:val="0"/>
        <w:spacing w:line="46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三、能推動教學輔導系統定期到偏鄉學校提供諮詢輔導，協助及支持學校發展，創新教學及進行翻轉教室之課程實驗。</w:t>
      </w:r>
    </w:p>
    <w:p w:rsidR="00E647A3" w:rsidRPr="00AA215E" w:rsidRDefault="003C68A7" w:rsidP="00E647A3">
      <w:pPr>
        <w:snapToGrid w:val="0"/>
        <w:spacing w:beforeLines="50" w:line="460" w:lineRule="exact"/>
        <w:jc w:val="both"/>
        <w:rPr>
          <w:rFonts w:ascii="標楷體" w:eastAsia="標楷體" w:hAnsi="標楷體"/>
          <w:b/>
          <w:sz w:val="28"/>
          <w:szCs w:val="28"/>
        </w:rPr>
      </w:pPr>
      <w:r w:rsidRPr="00B52395">
        <w:rPr>
          <w:rFonts w:ascii="標楷體" w:eastAsia="標楷體" w:hAnsi="標楷體" w:hint="eastAsia"/>
          <w:b/>
          <w:sz w:val="28"/>
          <w:szCs w:val="28"/>
        </w:rPr>
        <w:t>捌</w:t>
      </w:r>
      <w:r w:rsidR="00E647A3" w:rsidRPr="00AA215E">
        <w:rPr>
          <w:rFonts w:ascii="標楷體" w:eastAsia="標楷體" w:hAnsi="標楷體" w:hint="eastAsia"/>
          <w:b/>
          <w:sz w:val="28"/>
          <w:szCs w:val="28"/>
        </w:rPr>
        <w:t>、活動經費</w:t>
      </w:r>
    </w:p>
    <w:p w:rsidR="00E647A3" w:rsidRPr="00AA215E" w:rsidRDefault="00E647A3" w:rsidP="00E647A3">
      <w:pPr>
        <w:snapToGrid w:val="0"/>
        <w:spacing w:line="460" w:lineRule="exact"/>
        <w:jc w:val="both"/>
        <w:rPr>
          <w:rFonts w:ascii="標楷體" w:eastAsia="標楷體" w:hAnsi="標楷體"/>
          <w:sz w:val="28"/>
          <w:szCs w:val="28"/>
        </w:rPr>
      </w:pPr>
      <w:r w:rsidRPr="00AA215E">
        <w:rPr>
          <w:rFonts w:ascii="標楷體" w:eastAsia="標楷體" w:hAnsi="標楷體" w:hint="eastAsia"/>
          <w:sz w:val="28"/>
          <w:szCs w:val="28"/>
        </w:rPr>
        <w:t>由教育部國民及學前教育署補助經費項下支應 。</w:t>
      </w:r>
    </w:p>
    <w:p w:rsidR="00E647A3" w:rsidRPr="00594842" w:rsidRDefault="003C68A7" w:rsidP="00E647A3">
      <w:pPr>
        <w:snapToGrid w:val="0"/>
        <w:spacing w:beforeLines="50" w:line="460" w:lineRule="exact"/>
      </w:pPr>
      <w:r w:rsidRPr="00B52395">
        <w:rPr>
          <w:rFonts w:ascii="標楷體" w:eastAsia="標楷體" w:hAnsi="標楷體" w:hint="eastAsia"/>
          <w:b/>
          <w:sz w:val="28"/>
          <w:szCs w:val="28"/>
        </w:rPr>
        <w:t>玖</w:t>
      </w:r>
      <w:r w:rsidR="00E647A3" w:rsidRPr="00AA215E">
        <w:rPr>
          <w:rFonts w:ascii="標楷體" w:eastAsia="標楷體" w:hAnsi="標楷體" w:hint="eastAsia"/>
          <w:b/>
          <w:sz w:val="28"/>
          <w:szCs w:val="28"/>
        </w:rPr>
        <w:t>、</w:t>
      </w:r>
      <w:r w:rsidR="00E647A3">
        <w:rPr>
          <w:rFonts w:ascii="標楷體" w:eastAsia="標楷體" w:hAnsi="標楷體" w:hint="eastAsia"/>
          <w:b/>
          <w:sz w:val="28"/>
          <w:szCs w:val="28"/>
        </w:rPr>
        <w:t>本計畫經教育部國民及學前教育署核定後實施</w:t>
      </w:r>
      <w:r w:rsidR="00E647A3" w:rsidRPr="00AA215E">
        <w:rPr>
          <w:rFonts w:ascii="標楷體" w:eastAsia="標楷體" w:hAnsi="標楷體" w:hint="eastAsia"/>
          <w:b/>
          <w:sz w:val="28"/>
          <w:szCs w:val="28"/>
        </w:rPr>
        <w:t>，修正時亦同。</w:t>
      </w:r>
    </w:p>
    <w:p w:rsidR="00AD34B9" w:rsidRPr="00E647A3" w:rsidRDefault="00AD34B9" w:rsidP="001B783D">
      <w:pPr>
        <w:snapToGrid w:val="0"/>
        <w:rPr>
          <w:rFonts w:eastAsia="標楷體" w:hint="eastAsia"/>
          <w:b/>
          <w:color w:val="000000"/>
        </w:rPr>
      </w:pPr>
    </w:p>
    <w:p w:rsidR="008342F4" w:rsidRDefault="008342F4" w:rsidP="00AD34B9"/>
    <w:sectPr w:rsidR="008342F4" w:rsidSect="008342F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37B" w:rsidRDefault="0046437B" w:rsidP="00E26A8F">
      <w:r>
        <w:separator/>
      </w:r>
    </w:p>
  </w:endnote>
  <w:endnote w:type="continuationSeparator" w:id="1">
    <w:p w:rsidR="0046437B" w:rsidRDefault="0046437B" w:rsidP="00E26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37B" w:rsidRDefault="0046437B" w:rsidP="00E26A8F">
      <w:r>
        <w:separator/>
      </w:r>
    </w:p>
  </w:footnote>
  <w:footnote w:type="continuationSeparator" w:id="1">
    <w:p w:rsidR="0046437B" w:rsidRDefault="0046437B" w:rsidP="00E26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F3143"/>
    <w:multiLevelType w:val="hybridMultilevel"/>
    <w:tmpl w:val="8850EFBC"/>
    <w:lvl w:ilvl="0" w:tplc="3EE09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56B29D3"/>
    <w:multiLevelType w:val="hybridMultilevel"/>
    <w:tmpl w:val="4472257E"/>
    <w:lvl w:ilvl="0" w:tplc="F2F2B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4B9"/>
    <w:rsid w:val="000B6E3B"/>
    <w:rsid w:val="001B783D"/>
    <w:rsid w:val="00207CED"/>
    <w:rsid w:val="003C68A7"/>
    <w:rsid w:val="003E03C2"/>
    <w:rsid w:val="0046437B"/>
    <w:rsid w:val="006D7003"/>
    <w:rsid w:val="008342F4"/>
    <w:rsid w:val="00855949"/>
    <w:rsid w:val="008A6452"/>
    <w:rsid w:val="009617B5"/>
    <w:rsid w:val="009C42C8"/>
    <w:rsid w:val="00AD34B9"/>
    <w:rsid w:val="00B4183E"/>
    <w:rsid w:val="00BA4133"/>
    <w:rsid w:val="00C41604"/>
    <w:rsid w:val="00D26CB5"/>
    <w:rsid w:val="00E26A8F"/>
    <w:rsid w:val="00E647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4B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A8F"/>
    <w:pPr>
      <w:tabs>
        <w:tab w:val="center" w:pos="4153"/>
        <w:tab w:val="right" w:pos="8306"/>
      </w:tabs>
      <w:snapToGrid w:val="0"/>
    </w:pPr>
    <w:rPr>
      <w:sz w:val="20"/>
      <w:szCs w:val="20"/>
    </w:rPr>
  </w:style>
  <w:style w:type="character" w:customStyle="1" w:styleId="a4">
    <w:name w:val="頁首 字元"/>
    <w:link w:val="a3"/>
    <w:uiPriority w:val="99"/>
    <w:rsid w:val="00E26A8F"/>
    <w:rPr>
      <w:rFonts w:ascii="Times New Roman" w:hAnsi="Times New Roman"/>
      <w:kern w:val="2"/>
    </w:rPr>
  </w:style>
  <w:style w:type="paragraph" w:styleId="a5">
    <w:name w:val="footer"/>
    <w:basedOn w:val="a"/>
    <w:link w:val="a6"/>
    <w:uiPriority w:val="99"/>
    <w:unhideWhenUsed/>
    <w:rsid w:val="00E26A8F"/>
    <w:pPr>
      <w:tabs>
        <w:tab w:val="center" w:pos="4153"/>
        <w:tab w:val="right" w:pos="8306"/>
      </w:tabs>
      <w:snapToGrid w:val="0"/>
    </w:pPr>
    <w:rPr>
      <w:sz w:val="20"/>
      <w:szCs w:val="20"/>
    </w:rPr>
  </w:style>
  <w:style w:type="character" w:customStyle="1" w:styleId="a6">
    <w:name w:val="頁尾 字元"/>
    <w:link w:val="a5"/>
    <w:uiPriority w:val="99"/>
    <w:rsid w:val="00E26A8F"/>
    <w:rPr>
      <w:rFonts w:ascii="Times New Roman" w:hAnsi="Times New Roman"/>
      <w:kern w:val="2"/>
    </w:rPr>
  </w:style>
  <w:style w:type="table" w:styleId="a7">
    <w:name w:val="Table Grid"/>
    <w:basedOn w:val="a1"/>
    <w:uiPriority w:val="59"/>
    <w:rsid w:val="00E647A3"/>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647A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2016-08-11T02:06:00Z</dcterms:created>
  <dcterms:modified xsi:type="dcterms:W3CDTF">2016-08-11T02:06:00Z</dcterms:modified>
</cp:coreProperties>
</file>